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0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de Equipamiento Científico y Tecnológico Mayor FONDEQUIP 2024 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siendo nuestra Universidad Institución Principal </w:t>
      </w:r>
      <w:r w:rsidDel="00000000" w:rsidR="00000000" w:rsidRPr="00000000">
        <w:rPr>
          <w:rFonts w:ascii="Nirmala UI" w:cs="Nirmala UI" w:eastAsia="Nirmala UI" w:hAnsi="Nirmala UI"/>
          <w:color w:val="999999"/>
          <w:sz w:val="20"/>
          <w:szCs w:val="20"/>
          <w:rtl w:val="0"/>
        </w:rPr>
        <w:t xml:space="preserve">(si es Asociada indicar nombre la Institución Principal)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“...” , otorgando las facilidades básicas para su ejecución. Este proyecto será presentado por la académica o el académico </w:t>
      </w:r>
      <w:r w:rsidDel="00000000" w:rsidR="00000000" w:rsidRPr="00000000">
        <w:rPr>
          <w:rFonts w:ascii="Nirmala UI" w:cs="Nirmala UI" w:eastAsia="Nirmala UI" w:hAnsi="Nirmala UI"/>
          <w:color w:val="b7b7b7"/>
          <w:sz w:val="20"/>
          <w:szCs w:val="20"/>
          <w:rtl w:val="0"/>
        </w:rPr>
        <w:t xml:space="preserve">(indicar según corresponda)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 la Facultad …, según el siguiente detalle:</w:t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Nirmala UI" w:cs="Nirmala UI" w:eastAsia="Nirmala UI" w:hAnsi="Nirmala UI"/>
          <w:color w:val="b7b7b7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b7b7b7"/>
          <w:sz w:val="20"/>
          <w:szCs w:val="20"/>
          <w:rtl w:val="0"/>
        </w:rPr>
        <w:t xml:space="preserve">(Agregar o quitar participantes, según corresponda)</w:t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Unidad </w:t>
      </w:r>
      <w:r w:rsidDel="00000000" w:rsidR="00000000" w:rsidRPr="00000000">
        <w:rPr>
          <w:rFonts w:ascii="Nirmala UI" w:cs="Nirmala UI" w:eastAsia="Nirmala UI" w:hAnsi="Nirmala UI"/>
          <w:color w:val="b7b7b7"/>
          <w:sz w:val="20"/>
          <w:szCs w:val="20"/>
          <w:rtl w:val="0"/>
        </w:rPr>
        <w:t xml:space="preserve">(Departamento / Escuela)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aporte no pecuniario, se otorgará según el siguiente detalle:</w:t>
      </w:r>
    </w:p>
    <w:tbl>
      <w:tblPr>
        <w:tblStyle w:val="Table1"/>
        <w:tblW w:w="96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160"/>
        <w:gridCol w:w="4860"/>
        <w:gridCol w:w="2625"/>
        <w:tblGridChange w:id="0">
          <w:tblGrid>
            <w:gridCol w:w="2160"/>
            <w:gridCol w:w="4860"/>
            <w:gridCol w:w="2625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Ítem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Subítem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Aporte no pecuniario ($)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3bae9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Instalación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Adecuación de espacio para 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Instalación y Puesta en Marcha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Mantención, Garantías y Seguros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shd w:fill="3bae99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Otros Gastos de Operación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Gastos de Administración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lineRule="auto"/>
        <w:jc w:val="left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2B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2C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Directora o Director</w:t>
      </w:r>
    </w:p>
    <w:p w:rsidR="00000000" w:rsidDel="00000000" w:rsidP="00000000" w:rsidRDefault="00000000" w:rsidRPr="00000000" w14:paraId="0000002D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Departamento / Escuela …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1169" cy="585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-673732</wp:posOffset>
          </wp:positionH>
          <wp:positionV relativeFrom="paragraph">
            <wp:posOffset>-440052</wp:posOffset>
          </wp:positionV>
          <wp:extent cx="7767116" cy="100512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-246377</wp:posOffset>
          </wp:positionV>
          <wp:extent cx="2358906" cy="6604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-585785</wp:posOffset>
          </wp:positionH>
          <wp:positionV relativeFrom="paragraph">
            <wp:posOffset>-228596</wp:posOffset>
          </wp:positionV>
          <wp:extent cx="2914650" cy="69627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MjRuBKvcbXQ/u7KstIlXVS6XTA==">CgMxLjA4AHIhMU96bnk0Q2hVNEtudnNwOS1sZ0p3LW5zQklXWWd5dmtQ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